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795"/>
        <w:gridCol w:w="8910"/>
      </w:tblGrid>
      <w:tr w:rsidR="00765BB4" w:rsidTr="00B63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2"/>
          </w:tcPr>
          <w:p w:rsidR="00532915" w:rsidRDefault="00D62E30" w:rsidP="00765BB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St. Cloud HRA Homestead Incentive</w:t>
            </w:r>
          </w:p>
          <w:p w:rsidR="00765BB4" w:rsidRPr="00765BB4" w:rsidRDefault="00765BB4" w:rsidP="00765BB4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765BB4">
              <w:rPr>
                <w:sz w:val="28"/>
                <w:szCs w:val="28"/>
              </w:rPr>
              <w:t>Loan Program Summary</w:t>
            </w:r>
          </w:p>
        </w:tc>
      </w:tr>
      <w:tr w:rsidR="00765BB4" w:rsidTr="00B630B0">
        <w:trPr>
          <w:trHeight w:val="1590"/>
        </w:trPr>
        <w:tc>
          <w:tcPr>
            <w:tcW w:w="1795" w:type="dxa"/>
          </w:tcPr>
          <w:p w:rsidR="00C01864" w:rsidRDefault="00C01864" w:rsidP="00C0186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:rsidR="00765BB4" w:rsidRPr="00765BB4" w:rsidRDefault="00765BB4" w:rsidP="00C0186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Property</w:t>
            </w:r>
            <w:r w:rsidR="00B630B0">
              <w:rPr>
                <w:b w:val="0"/>
              </w:rPr>
              <w:t xml:space="preserve"> Requirements</w:t>
            </w:r>
          </w:p>
        </w:tc>
        <w:tc>
          <w:tcPr>
            <w:tcW w:w="8910" w:type="dxa"/>
          </w:tcPr>
          <w:p w:rsidR="00C01864" w:rsidRDefault="00C01864" w:rsidP="00B630B0"/>
          <w:p w:rsidR="00B630B0" w:rsidRDefault="00B630B0" w:rsidP="00117983">
            <w:pPr>
              <w:pStyle w:val="ListParagraph"/>
              <w:numPr>
                <w:ilvl w:val="0"/>
                <w:numId w:val="6"/>
              </w:numPr>
            </w:pPr>
            <w:r>
              <w:t xml:space="preserve">Property must be </w:t>
            </w:r>
            <w:r w:rsidR="00D62E30">
              <w:t xml:space="preserve">in the </w:t>
            </w:r>
            <w:r w:rsidR="00212F1C">
              <w:t>St. Cloud City limits</w:t>
            </w:r>
          </w:p>
          <w:p w:rsidR="00765BB4" w:rsidRDefault="00117983" w:rsidP="00C01864">
            <w:pPr>
              <w:pStyle w:val="ListParagraph"/>
              <w:numPr>
                <w:ilvl w:val="0"/>
                <w:numId w:val="1"/>
              </w:numPr>
            </w:pPr>
            <w:r>
              <w:t>Property can be a s</w:t>
            </w:r>
            <w:r w:rsidR="00765BB4">
              <w:t>ingle family detached home</w:t>
            </w:r>
            <w:r w:rsidR="00D62E30">
              <w:t xml:space="preserve">, townhome or duplex </w:t>
            </w:r>
          </w:p>
          <w:p w:rsidR="00765BB4" w:rsidRDefault="00765BB4" w:rsidP="00117983">
            <w:pPr>
              <w:pStyle w:val="ListParagraph"/>
              <w:numPr>
                <w:ilvl w:val="0"/>
                <w:numId w:val="1"/>
              </w:numPr>
            </w:pPr>
            <w:r>
              <w:t>Borrowers must own and reside in the property as their primary residence</w:t>
            </w:r>
          </w:p>
          <w:p w:rsidR="00117983" w:rsidRDefault="00117983" w:rsidP="00D62E30">
            <w:pPr>
              <w:pStyle w:val="ListParagraph"/>
            </w:pPr>
          </w:p>
        </w:tc>
      </w:tr>
      <w:tr w:rsidR="00765BB4" w:rsidTr="00B6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01864" w:rsidRDefault="00C01864">
            <w:pPr>
              <w:rPr>
                <w:bCs w:val="0"/>
              </w:rPr>
            </w:pPr>
          </w:p>
          <w:p w:rsidR="00765BB4" w:rsidRDefault="00765BB4">
            <w:pPr>
              <w:rPr>
                <w:bCs w:val="0"/>
              </w:rPr>
            </w:pPr>
            <w:r>
              <w:rPr>
                <w:b w:val="0"/>
              </w:rPr>
              <w:t xml:space="preserve">Mortgage </w:t>
            </w:r>
            <w:r w:rsidR="00D62E30">
              <w:rPr>
                <w:b w:val="0"/>
              </w:rPr>
              <w:t>Type</w:t>
            </w:r>
          </w:p>
          <w:p w:rsidR="00C01864" w:rsidRPr="00765BB4" w:rsidRDefault="00C01864" w:rsidP="00D62E30">
            <w:pPr>
              <w:rPr>
                <w:b w:val="0"/>
              </w:rPr>
            </w:pPr>
          </w:p>
        </w:tc>
        <w:tc>
          <w:tcPr>
            <w:tcW w:w="8910" w:type="dxa"/>
          </w:tcPr>
          <w:p w:rsidR="00D62E30" w:rsidRDefault="00D62E30" w:rsidP="00D62E3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2E30" w:rsidRDefault="00D62E30" w:rsidP="00D62E3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use traditional financing such as FHA or Conventional loan products, does not work with Contract for Deed, ARM Mortgage</w:t>
            </w:r>
          </w:p>
          <w:p w:rsidR="00765BB4" w:rsidRDefault="00765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BB4" w:rsidTr="00B6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D62E30" w:rsidRDefault="00D62E30"/>
          <w:p w:rsidR="00C01864" w:rsidRPr="00D62E30" w:rsidRDefault="00D62E3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Fees</w:t>
            </w:r>
          </w:p>
          <w:p w:rsidR="00C01864" w:rsidRPr="00765BB4" w:rsidRDefault="00C01864" w:rsidP="00D62E30">
            <w:pPr>
              <w:rPr>
                <w:b w:val="0"/>
              </w:rPr>
            </w:pPr>
          </w:p>
        </w:tc>
        <w:tc>
          <w:tcPr>
            <w:tcW w:w="8910" w:type="dxa"/>
          </w:tcPr>
          <w:p w:rsidR="00C01864" w:rsidRDefault="00C01864" w:rsidP="00D62E3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2E30" w:rsidRDefault="00D62E30" w:rsidP="00D62E3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a $150 Administration fee and two recording fees that will be included on the Closing Disclosure at time of closing</w:t>
            </w:r>
          </w:p>
          <w:p w:rsidR="00532915" w:rsidRDefault="00532915" w:rsidP="00D6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BB4" w:rsidTr="00B6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C01864" w:rsidRDefault="00C01864">
            <w:pPr>
              <w:rPr>
                <w:bCs w:val="0"/>
              </w:rPr>
            </w:pPr>
          </w:p>
          <w:p w:rsidR="00765BB4" w:rsidRDefault="00765BB4">
            <w:pPr>
              <w:rPr>
                <w:bCs w:val="0"/>
              </w:rPr>
            </w:pPr>
            <w:r>
              <w:rPr>
                <w:b w:val="0"/>
              </w:rPr>
              <w:t>Maximum Borrower Inco</w:t>
            </w:r>
            <w:r w:rsidR="00C01864">
              <w:rPr>
                <w:b w:val="0"/>
              </w:rPr>
              <w:t xml:space="preserve">me and Assets </w:t>
            </w:r>
          </w:p>
          <w:p w:rsidR="00C01864" w:rsidRDefault="00C01864">
            <w:pPr>
              <w:rPr>
                <w:bCs w:val="0"/>
              </w:rPr>
            </w:pPr>
          </w:p>
          <w:p w:rsidR="00C01864" w:rsidRDefault="00C01864">
            <w:pPr>
              <w:rPr>
                <w:bCs w:val="0"/>
              </w:rPr>
            </w:pPr>
          </w:p>
          <w:p w:rsidR="00C01864" w:rsidRDefault="00C01864">
            <w:pPr>
              <w:rPr>
                <w:bCs w:val="0"/>
              </w:rPr>
            </w:pPr>
          </w:p>
          <w:p w:rsidR="00C01864" w:rsidRDefault="00C01864">
            <w:pPr>
              <w:rPr>
                <w:bCs w:val="0"/>
              </w:rPr>
            </w:pPr>
          </w:p>
          <w:p w:rsidR="00C01864" w:rsidRPr="00765BB4" w:rsidRDefault="00C01864">
            <w:pPr>
              <w:rPr>
                <w:b w:val="0"/>
              </w:rPr>
            </w:pPr>
          </w:p>
        </w:tc>
        <w:tc>
          <w:tcPr>
            <w:tcW w:w="8910" w:type="dxa"/>
          </w:tcPr>
          <w:p w:rsidR="00C01864" w:rsidRDefault="00C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5BB4" w:rsidRDefault="00C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Borrower must meet income requirements. Income limits are by TOTAL household size</w:t>
            </w:r>
            <w:r w:rsidR="00D62E30">
              <w:t xml:space="preserve"> regardless of who is purchasing the home</w:t>
            </w:r>
            <w:r w:rsidR="002610F4">
              <w:t xml:space="preserve"> and is on the mortgage</w:t>
            </w:r>
            <w:r w:rsidR="00D62E30">
              <w:t>. All forms of income will be verified</w:t>
            </w:r>
            <w:r w:rsidR="002610F4">
              <w:t xml:space="preserve"> </w:t>
            </w:r>
            <w:r w:rsidR="00D62E30">
              <w:t xml:space="preserve">for ALL members of the household. </w:t>
            </w:r>
            <w:r w:rsidR="002610F4">
              <w:t>This includes but is not limited to: employment income</w:t>
            </w:r>
            <w:r w:rsidR="00EE6BD3">
              <w:t xml:space="preserve"> (including overtime, bonuses and shift differentials)</w:t>
            </w:r>
            <w:r w:rsidR="002610F4">
              <w:t xml:space="preserve">, social security, </w:t>
            </w:r>
            <w:r w:rsidR="00EE6BD3">
              <w:t>SSDI, VA Benefits, custodial accounts, child support, pension, etc.</w:t>
            </w:r>
          </w:p>
          <w:p w:rsidR="00C01864" w:rsidRDefault="00C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2701"/>
              <w:gridCol w:w="2973"/>
            </w:tblGrid>
            <w:tr w:rsidR="003E6DAA" w:rsidTr="003E6DAA">
              <w:tc>
                <w:tcPr>
                  <w:tcW w:w="1956" w:type="dxa"/>
                </w:tcPr>
                <w:p w:rsidR="003E6DAA" w:rsidRDefault="003E6DAA">
                  <w:r>
                    <w:t>Household Size</w:t>
                  </w:r>
                </w:p>
              </w:tc>
              <w:tc>
                <w:tcPr>
                  <w:tcW w:w="2701" w:type="dxa"/>
                </w:tcPr>
                <w:p w:rsidR="003E6DAA" w:rsidRDefault="003E6DAA">
                  <w:proofErr w:type="gramStart"/>
                  <w:r>
                    <w:t>1-2 person</w:t>
                  </w:r>
                  <w:proofErr w:type="gramEnd"/>
                  <w:r>
                    <w:t xml:space="preserve"> household</w:t>
                  </w:r>
                </w:p>
              </w:tc>
              <w:tc>
                <w:tcPr>
                  <w:tcW w:w="2973" w:type="dxa"/>
                </w:tcPr>
                <w:p w:rsidR="003E6DAA" w:rsidRDefault="003E6DAA">
                  <w:r>
                    <w:t>3+ person household</w:t>
                  </w:r>
                </w:p>
              </w:tc>
            </w:tr>
            <w:tr w:rsidR="003E6DAA" w:rsidTr="003E6DAA">
              <w:tc>
                <w:tcPr>
                  <w:tcW w:w="1956" w:type="dxa"/>
                </w:tcPr>
                <w:p w:rsidR="003E6DAA" w:rsidRDefault="003E6DAA">
                  <w:r>
                    <w:t>Gross Annual Household Income</w:t>
                  </w:r>
                </w:p>
              </w:tc>
              <w:tc>
                <w:tcPr>
                  <w:tcW w:w="2701" w:type="dxa"/>
                </w:tcPr>
                <w:p w:rsidR="003E6DAA" w:rsidRDefault="003E6DAA">
                  <w:r>
                    <w:t>$</w:t>
                  </w:r>
                  <w:r w:rsidR="005815B7">
                    <w:t>9</w:t>
                  </w:r>
                  <w:r w:rsidR="00E1277E">
                    <w:t>3</w:t>
                  </w:r>
                  <w:r>
                    <w:t>,</w:t>
                  </w:r>
                  <w:r w:rsidR="00E1277E">
                    <w:t>1</w:t>
                  </w:r>
                  <w:r>
                    <w:t>00</w:t>
                  </w:r>
                </w:p>
              </w:tc>
              <w:tc>
                <w:tcPr>
                  <w:tcW w:w="2973" w:type="dxa"/>
                </w:tcPr>
                <w:p w:rsidR="003E6DAA" w:rsidRDefault="003E6DAA">
                  <w:r>
                    <w:t>$</w:t>
                  </w:r>
                  <w:r w:rsidR="005815B7">
                    <w:t>10</w:t>
                  </w:r>
                  <w:r w:rsidR="00E1277E">
                    <w:t>7</w:t>
                  </w:r>
                  <w:r w:rsidR="005815B7">
                    <w:t>,500</w:t>
                  </w:r>
                </w:p>
              </w:tc>
            </w:tr>
          </w:tbl>
          <w:p w:rsidR="00C01864" w:rsidRDefault="00C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10F4" w:rsidRDefault="0026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Borrower cannot have more than $50,000 in assets.</w:t>
            </w:r>
          </w:p>
          <w:p w:rsidR="00EE6BD3" w:rsidRDefault="00EE6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BB4" w:rsidTr="00B630B0">
        <w:tc>
          <w:tcPr>
            <w:tcW w:w="1795" w:type="dxa"/>
          </w:tcPr>
          <w:p w:rsidR="00765BB4" w:rsidRPr="00FA795A" w:rsidRDefault="00FA795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Assistance Loan Rates and Terms</w:t>
            </w:r>
          </w:p>
        </w:tc>
        <w:tc>
          <w:tcPr>
            <w:tcW w:w="8910" w:type="dxa"/>
          </w:tcPr>
          <w:p w:rsidR="00765BB4" w:rsidRDefault="00FA795A" w:rsidP="00FA795A">
            <w:pPr>
              <w:pStyle w:val="ListParagraph"/>
              <w:numPr>
                <w:ilvl w:val="0"/>
                <w:numId w:val="2"/>
              </w:numPr>
            </w:pPr>
            <w:r>
              <w:t>Maximum loan amount is $</w:t>
            </w:r>
            <w:r w:rsidR="00212F1C">
              <w:t>5</w:t>
            </w:r>
            <w:r>
              <w:t>,000</w:t>
            </w:r>
          </w:p>
          <w:p w:rsidR="00FA795A" w:rsidRDefault="00FA795A" w:rsidP="00FA795A">
            <w:pPr>
              <w:pStyle w:val="ListParagraph"/>
              <w:numPr>
                <w:ilvl w:val="0"/>
                <w:numId w:val="2"/>
              </w:numPr>
            </w:pPr>
            <w:r>
              <w:t>Loan is interest free with no monthly payments</w:t>
            </w:r>
          </w:p>
          <w:p w:rsidR="00405650" w:rsidRDefault="00FA795A" w:rsidP="00474A9D">
            <w:pPr>
              <w:pStyle w:val="ListParagraph"/>
              <w:numPr>
                <w:ilvl w:val="0"/>
                <w:numId w:val="2"/>
              </w:numPr>
            </w:pPr>
            <w:r>
              <w:t>Loan</w:t>
            </w:r>
            <w:r w:rsidR="00532915">
              <w:t>s are</w:t>
            </w:r>
            <w:r>
              <w:t xml:space="preserve"> paid back in full if Borrower sells, refinances or if the property </w:t>
            </w:r>
            <w:r w:rsidR="00532915">
              <w:t>ceases to be</w:t>
            </w:r>
            <w:r>
              <w:t xml:space="preserve"> their primary residence during the loan term</w:t>
            </w:r>
            <w:r w:rsidR="00532915">
              <w:t>, or they become due after 30 years</w:t>
            </w:r>
          </w:p>
          <w:p w:rsidR="00FA795A" w:rsidRDefault="00FA795A" w:rsidP="00FA795A">
            <w:pPr>
              <w:pStyle w:val="ListParagraph"/>
            </w:pPr>
          </w:p>
        </w:tc>
      </w:tr>
      <w:tr w:rsidR="00B630B0" w:rsidTr="00B630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32915" w:rsidRDefault="00532915">
            <w:pPr>
              <w:rPr>
                <w:bCs w:val="0"/>
              </w:rPr>
            </w:pPr>
          </w:p>
          <w:p w:rsidR="00B630B0" w:rsidRDefault="00B630B0">
            <w:pPr>
              <w:rPr>
                <w:b w:val="0"/>
              </w:rPr>
            </w:pPr>
            <w:r>
              <w:rPr>
                <w:b w:val="0"/>
              </w:rPr>
              <w:t xml:space="preserve">Other </w:t>
            </w:r>
          </w:p>
        </w:tc>
        <w:tc>
          <w:tcPr>
            <w:tcW w:w="8910" w:type="dxa"/>
          </w:tcPr>
          <w:p w:rsidR="00532915" w:rsidRDefault="00532915" w:rsidP="00B6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7983" w:rsidRDefault="003E6DAA" w:rsidP="0011798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Buyer </w:t>
            </w:r>
            <w:r w:rsidR="00212F1C">
              <w:t>contribution is the lesser of $1,000 or 1% of the purchase price</w:t>
            </w:r>
            <w:bookmarkStart w:id="0" w:name="_GoBack"/>
            <w:bookmarkEnd w:id="0"/>
          </w:p>
          <w:p w:rsidR="00117983" w:rsidRDefault="00117983" w:rsidP="00B6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7983" w:rsidRDefault="00117983" w:rsidP="0011798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Applications are reviewed on a first come first serve basis as funds are available. </w:t>
            </w:r>
          </w:p>
          <w:p w:rsidR="002610F4" w:rsidRDefault="002610F4" w:rsidP="002610F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10F4" w:rsidRDefault="002610F4" w:rsidP="002610F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Buyer does NOT have to be a first-time homebuyer</w:t>
            </w:r>
          </w:p>
          <w:p w:rsidR="002610F4" w:rsidRDefault="002610F4" w:rsidP="002610F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10F4" w:rsidRDefault="002610F4" w:rsidP="002610F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Co-signers are allowed </w:t>
            </w:r>
          </w:p>
          <w:p w:rsidR="002610F4" w:rsidRDefault="002610F4" w:rsidP="0026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32915" w:rsidRDefault="00532915" w:rsidP="00B63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1249" w:rsidRDefault="00CA1249" w:rsidP="00385F60"/>
    <w:sectPr w:rsidR="00CA1249" w:rsidSect="00B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251F"/>
    <w:multiLevelType w:val="hybridMultilevel"/>
    <w:tmpl w:val="7B3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8EE"/>
    <w:multiLevelType w:val="hybridMultilevel"/>
    <w:tmpl w:val="090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EE8"/>
    <w:multiLevelType w:val="hybridMultilevel"/>
    <w:tmpl w:val="CF3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74B"/>
    <w:multiLevelType w:val="hybridMultilevel"/>
    <w:tmpl w:val="90B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62A8"/>
    <w:multiLevelType w:val="hybridMultilevel"/>
    <w:tmpl w:val="1EC0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23D3"/>
    <w:multiLevelType w:val="hybridMultilevel"/>
    <w:tmpl w:val="D5A8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804C1"/>
    <w:multiLevelType w:val="hybridMultilevel"/>
    <w:tmpl w:val="E94C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F28A0"/>
    <w:multiLevelType w:val="hybridMultilevel"/>
    <w:tmpl w:val="938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514"/>
    <w:multiLevelType w:val="hybridMultilevel"/>
    <w:tmpl w:val="0492BC00"/>
    <w:lvl w:ilvl="0" w:tplc="01267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B4"/>
    <w:rsid w:val="00117983"/>
    <w:rsid w:val="0013005D"/>
    <w:rsid w:val="00212F1C"/>
    <w:rsid w:val="002610F4"/>
    <w:rsid w:val="00385F60"/>
    <w:rsid w:val="003E6DAA"/>
    <w:rsid w:val="00405650"/>
    <w:rsid w:val="00474A9D"/>
    <w:rsid w:val="00532915"/>
    <w:rsid w:val="005815B7"/>
    <w:rsid w:val="005B53B8"/>
    <w:rsid w:val="005D56B2"/>
    <w:rsid w:val="0060499B"/>
    <w:rsid w:val="00652E37"/>
    <w:rsid w:val="00752FE5"/>
    <w:rsid w:val="00765BB4"/>
    <w:rsid w:val="00925666"/>
    <w:rsid w:val="00AD282E"/>
    <w:rsid w:val="00B54E9D"/>
    <w:rsid w:val="00B630B0"/>
    <w:rsid w:val="00C01864"/>
    <w:rsid w:val="00C43321"/>
    <w:rsid w:val="00C82617"/>
    <w:rsid w:val="00CA1249"/>
    <w:rsid w:val="00D62896"/>
    <w:rsid w:val="00D62E30"/>
    <w:rsid w:val="00E1277E"/>
    <w:rsid w:val="00EE6BD3"/>
    <w:rsid w:val="00F97EAC"/>
    <w:rsid w:val="00F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B31A"/>
  <w15:chartTrackingRefBased/>
  <w15:docId w15:val="{1A35BE2E-1180-4E52-8183-9E92BB90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65B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5B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5BB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5BB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5BB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65B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Adamski</dc:creator>
  <cp:keywords/>
  <dc:description/>
  <cp:lastModifiedBy>Shannon Adamski</cp:lastModifiedBy>
  <cp:revision>3</cp:revision>
  <cp:lastPrinted>2020-04-21T20:30:00Z</cp:lastPrinted>
  <dcterms:created xsi:type="dcterms:W3CDTF">2021-08-26T21:45:00Z</dcterms:created>
  <dcterms:modified xsi:type="dcterms:W3CDTF">2021-08-26T21:48:00Z</dcterms:modified>
</cp:coreProperties>
</file>